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6" w:rsidRPr="001C1886" w:rsidRDefault="001C1886" w:rsidP="001C1886">
      <w:pPr>
        <w:shd w:val="clear" w:color="auto" w:fill="FFFFFF"/>
        <w:jc w:val="center"/>
        <w:rPr>
          <w:sz w:val="24"/>
        </w:rPr>
      </w:pPr>
      <w:r w:rsidRPr="001C1886">
        <w:rPr>
          <w:bCs/>
          <w:sz w:val="24"/>
        </w:rPr>
        <w:t>В</w:t>
      </w:r>
      <w:r w:rsidRPr="001C1886">
        <w:rPr>
          <w:sz w:val="24"/>
        </w:rPr>
        <w:t>ыписка</w:t>
      </w:r>
    </w:p>
    <w:p w:rsidR="001C1886" w:rsidRPr="001C1886" w:rsidRDefault="001C1886" w:rsidP="001C1886">
      <w:pPr>
        <w:shd w:val="clear" w:color="auto" w:fill="FFFFFF"/>
        <w:rPr>
          <w:sz w:val="24"/>
        </w:rPr>
      </w:pPr>
      <w:r w:rsidRPr="001C1886">
        <w:rPr>
          <w:sz w:val="24"/>
        </w:rPr>
        <w:t>из инструкции о порядке взаимодействия администрации и подразделений АО «СХК», подразд</w:t>
      </w:r>
      <w:r w:rsidRPr="001C1886">
        <w:rPr>
          <w:sz w:val="24"/>
        </w:rPr>
        <w:t>е</w:t>
      </w:r>
      <w:r w:rsidRPr="001C1886">
        <w:rPr>
          <w:sz w:val="24"/>
        </w:rPr>
        <w:t xml:space="preserve">лений в/ч 3478 НГ РФ, отдела в </w:t>
      </w:r>
      <w:proofErr w:type="spellStart"/>
      <w:r w:rsidRPr="001C1886">
        <w:rPr>
          <w:sz w:val="24"/>
        </w:rPr>
        <w:t>г</w:t>
      </w:r>
      <w:proofErr w:type="gramStart"/>
      <w:r w:rsidRPr="001C1886">
        <w:rPr>
          <w:sz w:val="24"/>
        </w:rPr>
        <w:t>.С</w:t>
      </w:r>
      <w:proofErr w:type="gramEnd"/>
      <w:r w:rsidRPr="001C1886">
        <w:rPr>
          <w:sz w:val="24"/>
        </w:rPr>
        <w:t>еверске</w:t>
      </w:r>
      <w:proofErr w:type="spellEnd"/>
      <w:r w:rsidRPr="001C1886">
        <w:rPr>
          <w:sz w:val="24"/>
        </w:rPr>
        <w:t xml:space="preserve"> УФСБ России по Томской области, УМВД России по ЗАТО Северск при срабатывании сигнализации радиационных мониторов, установленных на КПП ГКЗ ЗАТО </w:t>
      </w:r>
      <w:proofErr w:type="spellStart"/>
      <w:r w:rsidRPr="001C1886">
        <w:rPr>
          <w:sz w:val="24"/>
        </w:rPr>
        <w:t>Северск</w:t>
      </w:r>
      <w:proofErr w:type="spellEnd"/>
      <w:r w:rsidRPr="001C1886">
        <w:rPr>
          <w:sz w:val="24"/>
        </w:rPr>
        <w:t xml:space="preserve"> №10-02/70 </w:t>
      </w:r>
      <w:proofErr w:type="spellStart"/>
      <w:r w:rsidRPr="001C1886">
        <w:rPr>
          <w:sz w:val="24"/>
        </w:rPr>
        <w:t>дсп</w:t>
      </w:r>
      <w:proofErr w:type="spellEnd"/>
      <w:r w:rsidRPr="001C1886">
        <w:rPr>
          <w:sz w:val="24"/>
        </w:rPr>
        <w:t xml:space="preserve">, 750/5-313 </w:t>
      </w:r>
      <w:proofErr w:type="spellStart"/>
      <w:r w:rsidRPr="001C1886">
        <w:rPr>
          <w:sz w:val="24"/>
        </w:rPr>
        <w:t>дсп</w:t>
      </w:r>
      <w:proofErr w:type="spellEnd"/>
      <w:r w:rsidRPr="001C1886">
        <w:rPr>
          <w:sz w:val="24"/>
        </w:rPr>
        <w:t xml:space="preserve"> от 15.02.2017.</w:t>
      </w:r>
    </w:p>
    <w:p w:rsidR="001C1886" w:rsidRPr="001C1886" w:rsidRDefault="001C1886" w:rsidP="001C1886">
      <w:pPr>
        <w:shd w:val="clear" w:color="auto" w:fill="FFFFFF"/>
        <w:spacing w:before="120"/>
        <w:jc w:val="center"/>
        <w:rPr>
          <w:bCs/>
          <w:sz w:val="24"/>
        </w:rPr>
      </w:pPr>
      <w:r w:rsidRPr="001C1886">
        <w:rPr>
          <w:bCs/>
          <w:sz w:val="24"/>
        </w:rPr>
        <w:t>Содержание</w:t>
      </w:r>
    </w:p>
    <w:tbl>
      <w:tblPr>
        <w:tblW w:w="10314" w:type="dxa"/>
        <w:tblLayout w:type="fixed"/>
        <w:tblLook w:val="01E0"/>
      </w:tblPr>
      <w:tblGrid>
        <w:gridCol w:w="108"/>
        <w:gridCol w:w="709"/>
        <w:gridCol w:w="8789"/>
        <w:gridCol w:w="534"/>
        <w:gridCol w:w="174"/>
      </w:tblGrid>
      <w:tr w:rsidR="001C1886" w:rsidRPr="001C1886" w:rsidTr="008825C3">
        <w:trPr>
          <w:trHeight w:val="237"/>
        </w:trPr>
        <w:tc>
          <w:tcPr>
            <w:tcW w:w="817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Принятые сокращения.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jc w:val="right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3</w:t>
            </w:r>
          </w:p>
        </w:tc>
      </w:tr>
      <w:tr w:rsidR="001C1886" w:rsidRPr="001C1886" w:rsidTr="008825C3">
        <w:trPr>
          <w:trHeight w:val="202"/>
        </w:trPr>
        <w:tc>
          <w:tcPr>
            <w:tcW w:w="817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Общие положения.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jc w:val="right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3</w:t>
            </w:r>
          </w:p>
        </w:tc>
      </w:tr>
      <w:tr w:rsidR="001C1886" w:rsidRPr="001C1886" w:rsidTr="008825C3">
        <w:trPr>
          <w:trHeight w:val="332"/>
        </w:trPr>
        <w:tc>
          <w:tcPr>
            <w:tcW w:w="817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 xml:space="preserve">Причины срабатывания и режимы работы </w:t>
            </w:r>
            <w:r w:rsidRPr="001C1886">
              <w:rPr>
                <w:sz w:val="24"/>
              </w:rPr>
              <w:t>радиационного</w:t>
            </w:r>
            <w:r w:rsidRPr="001C1886">
              <w:rPr>
                <w:bCs/>
                <w:sz w:val="24"/>
              </w:rPr>
              <w:t xml:space="preserve"> монитора.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jc w:val="right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4</w:t>
            </w:r>
          </w:p>
        </w:tc>
      </w:tr>
      <w:tr w:rsidR="001C1886" w:rsidRPr="001C1886" w:rsidTr="008825C3">
        <w:trPr>
          <w:trHeight w:val="950"/>
        </w:trPr>
        <w:tc>
          <w:tcPr>
            <w:tcW w:w="817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</w:p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1C1886" w:rsidRPr="001C1886" w:rsidRDefault="001C1886" w:rsidP="008825C3">
            <w:pPr>
              <w:shd w:val="clear" w:color="auto" w:fill="FFFFFF"/>
              <w:rPr>
                <w:bCs/>
                <w:sz w:val="24"/>
                <w:highlight w:val="yellow"/>
              </w:rPr>
            </w:pPr>
            <w:r w:rsidRPr="001C1886">
              <w:rPr>
                <w:bCs/>
                <w:sz w:val="24"/>
              </w:rPr>
              <w:t xml:space="preserve">Порядок взаимодействия администрации АО «СХК», подразделений в/ч 3480 ВНГ РФ,  УМВД </w:t>
            </w:r>
            <w:proofErr w:type="gramStart"/>
            <w:r w:rsidRPr="001C1886">
              <w:rPr>
                <w:bCs/>
                <w:sz w:val="24"/>
              </w:rPr>
              <w:t>по</w:t>
            </w:r>
            <w:proofErr w:type="gramEnd"/>
            <w:r w:rsidRPr="001C1886">
              <w:rPr>
                <w:bCs/>
                <w:sz w:val="24"/>
              </w:rPr>
              <w:t xml:space="preserve"> ЗАТО Северск, отдела в г. Северске УФСБ России по Томской о</w:t>
            </w:r>
            <w:r w:rsidRPr="001C1886">
              <w:rPr>
                <w:bCs/>
                <w:sz w:val="24"/>
              </w:rPr>
              <w:t>б</w:t>
            </w:r>
            <w:r w:rsidRPr="001C1886">
              <w:rPr>
                <w:bCs/>
                <w:sz w:val="24"/>
              </w:rPr>
              <w:t>ласти</w:t>
            </w:r>
            <w:r w:rsidRPr="001C1886">
              <w:rPr>
                <w:b/>
                <w:sz w:val="24"/>
              </w:rPr>
              <w:t xml:space="preserve"> </w:t>
            </w:r>
            <w:r w:rsidRPr="001C1886">
              <w:rPr>
                <w:sz w:val="24"/>
              </w:rPr>
              <w:t>при срабатывании радиационного монитора</w:t>
            </w:r>
            <w:r w:rsidRPr="001C1886">
              <w:rPr>
                <w:bCs/>
                <w:sz w:val="24"/>
              </w:rPr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C1886" w:rsidRPr="001C1886" w:rsidRDefault="001C1886" w:rsidP="008825C3">
            <w:pPr>
              <w:ind w:right="1"/>
              <w:rPr>
                <w:bCs/>
                <w:sz w:val="24"/>
              </w:rPr>
            </w:pPr>
            <w:r w:rsidRPr="001C1886">
              <w:rPr>
                <w:bCs/>
                <w:sz w:val="24"/>
              </w:rPr>
              <w:t xml:space="preserve">      5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177608" w:rsidRDefault="001C1886" w:rsidP="001C1886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177608">
              <w:rPr>
                <w:sz w:val="24"/>
              </w:rPr>
              <w:t>Принятые сокращения:</w:t>
            </w:r>
          </w:p>
          <w:p w:rsidR="001C1886" w:rsidRDefault="001C1886" w:rsidP="008825C3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КПП –           контрольно - пропускной пункт;</w:t>
            </w:r>
          </w:p>
          <w:p w:rsidR="001C1886" w:rsidRDefault="001C1886" w:rsidP="008825C3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КЗ –               контролируемая зона ЗАТОЛ Северск;</w:t>
            </w:r>
          </w:p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ДПК – </w:t>
            </w:r>
            <w:r>
              <w:rPr>
                <w:sz w:val="24"/>
              </w:rPr>
              <w:t xml:space="preserve">          </w:t>
            </w:r>
            <w:r w:rsidRPr="00970FEF">
              <w:rPr>
                <w:sz w:val="24"/>
              </w:rPr>
              <w:t>дежурный помощник коменданта;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НК – </w:t>
            </w:r>
            <w:r>
              <w:rPr>
                <w:sz w:val="24"/>
              </w:rPr>
              <w:t xml:space="preserve">             </w:t>
            </w:r>
            <w:r w:rsidRPr="00970FEF">
              <w:rPr>
                <w:sz w:val="24"/>
              </w:rPr>
              <w:t>начальник караула;</w:t>
            </w:r>
          </w:p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ПНК – </w:t>
            </w:r>
            <w:r>
              <w:rPr>
                <w:sz w:val="24"/>
              </w:rPr>
              <w:t xml:space="preserve">          </w:t>
            </w:r>
            <w:r w:rsidRPr="00970FEF">
              <w:rPr>
                <w:sz w:val="24"/>
              </w:rPr>
              <w:t>помощник начальника караула;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НСК – </w:t>
            </w:r>
            <w:r>
              <w:rPr>
                <w:sz w:val="24"/>
              </w:rPr>
              <w:t xml:space="preserve">          </w:t>
            </w:r>
            <w:r w:rsidRPr="00970FEF">
              <w:rPr>
                <w:sz w:val="24"/>
              </w:rPr>
              <w:t>начальник смены комбината;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>АО «СХК» –</w:t>
            </w:r>
            <w:r>
              <w:rPr>
                <w:sz w:val="24"/>
              </w:rPr>
              <w:t xml:space="preserve"> </w:t>
            </w:r>
            <w:r w:rsidRPr="00970FEF">
              <w:rPr>
                <w:sz w:val="24"/>
              </w:rPr>
              <w:t>акционерное общество «Сибирский химический комбинат»;</w:t>
            </w:r>
          </w:p>
          <w:p w:rsidR="001C1886" w:rsidRPr="00970FEF" w:rsidRDefault="001C1886" w:rsidP="008825C3">
            <w:pPr>
              <w:pStyle w:val="aa"/>
              <w:rPr>
                <w:sz w:val="24"/>
              </w:rPr>
            </w:pPr>
            <w:proofErr w:type="spellStart"/>
            <w:r w:rsidRPr="00970FEF">
              <w:rPr>
                <w:sz w:val="24"/>
              </w:rPr>
              <w:t>ОФЗОиСП</w:t>
            </w:r>
            <w:proofErr w:type="spellEnd"/>
            <w:r w:rsidRPr="00970FEF">
              <w:rPr>
                <w:sz w:val="24"/>
              </w:rPr>
              <w:t xml:space="preserve"> – отдел физической защиты объектов и специальной продукции;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РПСЛ – </w:t>
            </w:r>
            <w:r>
              <w:rPr>
                <w:sz w:val="24"/>
              </w:rPr>
              <w:t xml:space="preserve">        </w:t>
            </w:r>
            <w:r w:rsidRPr="00970FEF">
              <w:rPr>
                <w:sz w:val="24"/>
              </w:rPr>
              <w:t>радиационная промышленно-санитарная лаборатория АО</w:t>
            </w:r>
            <w:r w:rsidRPr="001A3338"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r w:rsidRPr="00970FEF">
              <w:rPr>
                <w:sz w:val="24"/>
              </w:rPr>
              <w:t>СХК»;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УМВД – </w:t>
            </w:r>
            <w:r>
              <w:rPr>
                <w:sz w:val="24"/>
              </w:rPr>
              <w:t xml:space="preserve">       </w:t>
            </w:r>
            <w:r w:rsidRPr="00970FEF">
              <w:rPr>
                <w:sz w:val="24"/>
              </w:rPr>
              <w:t xml:space="preserve">Управление Министерства внутренних дел России </w:t>
            </w:r>
            <w:proofErr w:type="gramStart"/>
            <w:r w:rsidRPr="00970FEF">
              <w:rPr>
                <w:sz w:val="24"/>
              </w:rPr>
              <w:t>по</w:t>
            </w:r>
            <w:proofErr w:type="gramEnd"/>
            <w:r w:rsidRPr="00970FEF">
              <w:rPr>
                <w:sz w:val="24"/>
              </w:rPr>
              <w:t xml:space="preserve"> ЗАТО Северск;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УФСБ – </w:t>
            </w:r>
            <w:r>
              <w:rPr>
                <w:sz w:val="24"/>
              </w:rPr>
              <w:t xml:space="preserve">        </w:t>
            </w:r>
            <w:r w:rsidRPr="00970FEF">
              <w:rPr>
                <w:sz w:val="24"/>
              </w:rPr>
              <w:t xml:space="preserve">отдел в </w:t>
            </w:r>
            <w:proofErr w:type="spellStart"/>
            <w:r w:rsidRPr="00970FEF">
              <w:rPr>
                <w:sz w:val="24"/>
              </w:rPr>
              <w:t>г</w:t>
            </w:r>
            <w:proofErr w:type="gramStart"/>
            <w:r w:rsidRPr="00970FEF">
              <w:rPr>
                <w:sz w:val="24"/>
              </w:rPr>
              <w:t>.С</w:t>
            </w:r>
            <w:proofErr w:type="gramEnd"/>
            <w:r w:rsidRPr="00970FEF">
              <w:rPr>
                <w:sz w:val="24"/>
              </w:rPr>
              <w:t>еверске</w:t>
            </w:r>
            <w:proofErr w:type="spellEnd"/>
            <w:r w:rsidRPr="00970FEF">
              <w:rPr>
                <w:sz w:val="24"/>
              </w:rPr>
              <w:t xml:space="preserve"> Управления ФСБ России по Томской области;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ind w:right="-282"/>
              <w:rPr>
                <w:sz w:val="24"/>
              </w:rPr>
            </w:pPr>
            <w:proofErr w:type="spellStart"/>
            <w:r w:rsidRPr="00970FEF">
              <w:rPr>
                <w:sz w:val="24"/>
              </w:rPr>
              <w:t>УЭиОИК</w:t>
            </w:r>
            <w:proofErr w:type="spellEnd"/>
            <w:r w:rsidRPr="00970FEF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   </w:t>
            </w:r>
            <w:r w:rsidRPr="00970FEF">
              <w:rPr>
                <w:sz w:val="24"/>
              </w:rPr>
              <w:t xml:space="preserve">управление эксплуатации и обслуживания имущественного комплекса АО «СХК»; </w:t>
            </w:r>
          </w:p>
        </w:tc>
      </w:tr>
      <w:tr w:rsidR="001C1886" w:rsidRPr="00970FEF" w:rsidTr="008825C3">
        <w:trPr>
          <w:gridBefore w:val="1"/>
          <w:gridAfter w:val="1"/>
          <w:wBefore w:w="108" w:type="dxa"/>
          <w:wAfter w:w="174" w:type="dxa"/>
        </w:trPr>
        <w:tc>
          <w:tcPr>
            <w:tcW w:w="10032" w:type="dxa"/>
            <w:gridSpan w:val="3"/>
            <w:shd w:val="clear" w:color="auto" w:fill="auto"/>
          </w:tcPr>
          <w:p w:rsidR="001C1886" w:rsidRPr="00970FEF" w:rsidRDefault="001C1886" w:rsidP="008825C3">
            <w:pPr>
              <w:pStyle w:val="aa"/>
              <w:rPr>
                <w:sz w:val="24"/>
              </w:rPr>
            </w:pPr>
            <w:r w:rsidRPr="00970FEF">
              <w:rPr>
                <w:sz w:val="24"/>
              </w:rPr>
              <w:t xml:space="preserve">ЯМ – </w:t>
            </w:r>
            <w:r>
              <w:rPr>
                <w:sz w:val="24"/>
              </w:rPr>
              <w:t xml:space="preserve">             </w:t>
            </w:r>
            <w:r w:rsidRPr="00970FEF">
              <w:rPr>
                <w:sz w:val="24"/>
              </w:rPr>
              <w:t>ядерные материалы;</w:t>
            </w:r>
          </w:p>
        </w:tc>
      </w:tr>
    </w:tbl>
    <w:p w:rsidR="001C1886" w:rsidRDefault="001C1886" w:rsidP="001C1886">
      <w:pPr>
        <w:pStyle w:val="aa"/>
        <w:rPr>
          <w:sz w:val="24"/>
        </w:rPr>
      </w:pPr>
      <w:r w:rsidRPr="00970FEF">
        <w:rPr>
          <w:sz w:val="24"/>
        </w:rPr>
        <w:t xml:space="preserve">  </w:t>
      </w:r>
      <w:r>
        <w:rPr>
          <w:sz w:val="24"/>
        </w:rPr>
        <w:t xml:space="preserve">      </w:t>
      </w:r>
    </w:p>
    <w:p w:rsidR="001C1886" w:rsidRPr="00177608" w:rsidRDefault="001C1886" w:rsidP="001C1886">
      <w:pPr>
        <w:pStyle w:val="aa"/>
        <w:rPr>
          <w:sz w:val="24"/>
        </w:rPr>
      </w:pPr>
      <w:r>
        <w:rPr>
          <w:sz w:val="24"/>
        </w:rPr>
        <w:t xml:space="preserve">      </w:t>
      </w:r>
      <w:r w:rsidRPr="00177608">
        <w:rPr>
          <w:sz w:val="24"/>
        </w:rPr>
        <w:t>2. Общие положения.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2.1. Настоящая инструкция разработана в соответствии с требованиями о порядке обеспечения особого режима </w:t>
      </w:r>
      <w:proofErr w:type="gramStart"/>
      <w:r w:rsidRPr="00970FEF">
        <w:rPr>
          <w:sz w:val="24"/>
        </w:rPr>
        <w:t>в</w:t>
      </w:r>
      <w:proofErr w:type="gramEnd"/>
      <w:r w:rsidRPr="00970FEF">
        <w:rPr>
          <w:sz w:val="24"/>
        </w:rPr>
        <w:t xml:space="preserve"> ЗАТО Северск. 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</w:t>
      </w:r>
      <w:r>
        <w:rPr>
          <w:sz w:val="24"/>
        </w:rPr>
        <w:t xml:space="preserve"> </w:t>
      </w:r>
      <w:r w:rsidRPr="00970FEF">
        <w:rPr>
          <w:sz w:val="24"/>
        </w:rPr>
        <w:t>2.2.  Инструкция определяет: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- порядок действий администрации и подразделений АО «СХК», подразделений в/ч 3480 НГ РФ, отдела в г. Северске УФСБ России по Томской области, УМВД России </w:t>
      </w:r>
      <w:proofErr w:type="gramStart"/>
      <w:r w:rsidRPr="00970FEF">
        <w:rPr>
          <w:sz w:val="24"/>
        </w:rPr>
        <w:t>по</w:t>
      </w:r>
      <w:proofErr w:type="gramEnd"/>
      <w:r w:rsidRPr="00970FEF">
        <w:rPr>
          <w:sz w:val="24"/>
        </w:rPr>
        <w:t xml:space="preserve"> ЗАТО Северск  при п</w:t>
      </w:r>
      <w:r w:rsidRPr="00970FEF">
        <w:rPr>
          <w:sz w:val="24"/>
        </w:rPr>
        <w:t>о</w:t>
      </w:r>
      <w:r w:rsidRPr="00970FEF">
        <w:rPr>
          <w:sz w:val="24"/>
        </w:rPr>
        <w:t>ступлении сообщения о срабатывани</w:t>
      </w:r>
      <w:r>
        <w:rPr>
          <w:sz w:val="24"/>
        </w:rPr>
        <w:t>и</w:t>
      </w:r>
      <w:r w:rsidRPr="00970FEF">
        <w:rPr>
          <w:sz w:val="24"/>
        </w:rPr>
        <w:t xml:space="preserve"> радиационных мониторов;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- порядок взаимодействия подразделений АО «СХК» (начальник смены комбината, </w:t>
      </w:r>
      <w:proofErr w:type="spellStart"/>
      <w:r w:rsidRPr="00970FEF">
        <w:rPr>
          <w:sz w:val="24"/>
        </w:rPr>
        <w:t>ОФЗОиСП</w:t>
      </w:r>
      <w:proofErr w:type="spellEnd"/>
      <w:r w:rsidRPr="00970FEF">
        <w:rPr>
          <w:sz w:val="24"/>
        </w:rPr>
        <w:t xml:space="preserve">, РПСЛ), отдела в г. Северске УФСБ России, УМВД России </w:t>
      </w:r>
      <w:proofErr w:type="gramStart"/>
      <w:r w:rsidRPr="00970FEF">
        <w:rPr>
          <w:sz w:val="24"/>
        </w:rPr>
        <w:t>по</w:t>
      </w:r>
      <w:proofErr w:type="gramEnd"/>
      <w:r w:rsidRPr="00970FEF">
        <w:rPr>
          <w:sz w:val="24"/>
        </w:rPr>
        <w:t xml:space="preserve"> ЗАТО Северск при поступлении с</w:t>
      </w:r>
      <w:r w:rsidRPr="00970FEF">
        <w:rPr>
          <w:sz w:val="24"/>
        </w:rPr>
        <w:t>о</w:t>
      </w:r>
      <w:r w:rsidRPr="00970FEF">
        <w:rPr>
          <w:sz w:val="24"/>
        </w:rPr>
        <w:t>общения о срабатывании радиационных мониторов;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>- порядок проведения радиационного обследования сотрудниками  РПСЛ АО «СХК», по опред</w:t>
      </w:r>
      <w:r w:rsidRPr="00970FEF">
        <w:rPr>
          <w:sz w:val="24"/>
        </w:rPr>
        <w:t>е</w:t>
      </w:r>
      <w:r w:rsidRPr="00970FEF">
        <w:rPr>
          <w:sz w:val="24"/>
        </w:rPr>
        <w:t>лению причин срабатывания радиационных мониторов.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2.3. Мероприятия</w:t>
      </w:r>
      <w:r>
        <w:rPr>
          <w:sz w:val="24"/>
        </w:rPr>
        <w:t>,</w:t>
      </w:r>
      <w:r w:rsidRPr="00970FEF">
        <w:rPr>
          <w:sz w:val="24"/>
        </w:rPr>
        <w:t xml:space="preserve"> проводимые в соответствии с данной инструкцией</w:t>
      </w:r>
      <w:r>
        <w:rPr>
          <w:sz w:val="24"/>
        </w:rPr>
        <w:t>,</w:t>
      </w:r>
      <w:r w:rsidRPr="00970FEF">
        <w:rPr>
          <w:sz w:val="24"/>
        </w:rPr>
        <w:t xml:space="preserve"> направлены на недоп</w:t>
      </w:r>
      <w:r w:rsidRPr="00970FEF">
        <w:rPr>
          <w:sz w:val="24"/>
        </w:rPr>
        <w:t>у</w:t>
      </w:r>
      <w:r w:rsidRPr="00970FEF">
        <w:rPr>
          <w:sz w:val="24"/>
        </w:rPr>
        <w:t xml:space="preserve">щение  несанкционированного перемещения ЯМ за </w:t>
      </w:r>
      <w:proofErr w:type="gramStart"/>
      <w:r w:rsidRPr="00970FEF">
        <w:rPr>
          <w:sz w:val="24"/>
        </w:rPr>
        <w:t>пределы</w:t>
      </w:r>
      <w:proofErr w:type="gramEnd"/>
      <w:r w:rsidRPr="00970FEF">
        <w:rPr>
          <w:sz w:val="24"/>
        </w:rPr>
        <w:t xml:space="preserve"> ЗАТО Северск.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2.4. Радиационные мониторы представляют собой индикаторные приборы и являются высок</w:t>
      </w:r>
      <w:r w:rsidRPr="00970FEF">
        <w:rPr>
          <w:sz w:val="24"/>
        </w:rPr>
        <w:t>о</w:t>
      </w:r>
      <w:r w:rsidRPr="00970FEF">
        <w:rPr>
          <w:sz w:val="24"/>
        </w:rPr>
        <w:t>надежными автоматизированными средствами радиометрического обнаружения ЯМ и радиацио</w:t>
      </w:r>
      <w:r w:rsidRPr="00970FEF">
        <w:rPr>
          <w:sz w:val="24"/>
        </w:rPr>
        <w:t>н</w:t>
      </w:r>
      <w:r w:rsidRPr="00970FEF">
        <w:rPr>
          <w:sz w:val="24"/>
        </w:rPr>
        <w:t>но-загрязненных материалов (предметов).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2.5. Обследованию подвергаются  физические лица и транспорт (предметы, материалы) при проходе (проезде) через КПП.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2.6. Обследование транспорта производится автоматически при его движении через зону о</w:t>
      </w:r>
      <w:r w:rsidRPr="00970FEF">
        <w:rPr>
          <w:sz w:val="24"/>
        </w:rPr>
        <w:t>б</w:t>
      </w:r>
      <w:r w:rsidRPr="00970FEF">
        <w:rPr>
          <w:sz w:val="24"/>
        </w:rPr>
        <w:t>наружения (между детектирующими панелями монитора). Не допускается одновременное нахо</w:t>
      </w:r>
      <w:r w:rsidRPr="00970FEF">
        <w:rPr>
          <w:sz w:val="24"/>
        </w:rPr>
        <w:t>ж</w:t>
      </w:r>
      <w:r w:rsidRPr="00970FEF">
        <w:rPr>
          <w:sz w:val="24"/>
        </w:rPr>
        <w:t>дение двух и более объектов между стойками монитора. Оптимальный интервал между обслед</w:t>
      </w:r>
      <w:r w:rsidRPr="00970FEF">
        <w:rPr>
          <w:sz w:val="24"/>
        </w:rPr>
        <w:t>о</w:t>
      </w:r>
      <w:r w:rsidRPr="00970FEF">
        <w:rPr>
          <w:sz w:val="24"/>
        </w:rPr>
        <w:t>ваниями – 3-5 секунд.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lastRenderedPageBreak/>
        <w:t xml:space="preserve">       2.7. Сигнал о срабатывании радиационного монитора звуков</w:t>
      </w:r>
      <w:r>
        <w:rPr>
          <w:sz w:val="24"/>
        </w:rPr>
        <w:t>ой</w:t>
      </w:r>
      <w:r w:rsidRPr="00970FEF">
        <w:rPr>
          <w:sz w:val="24"/>
        </w:rPr>
        <w:t xml:space="preserve"> (сирена) и светов</w:t>
      </w:r>
      <w:r>
        <w:rPr>
          <w:sz w:val="24"/>
        </w:rPr>
        <w:t>ой</w:t>
      </w:r>
      <w:r w:rsidRPr="00970FEF">
        <w:rPr>
          <w:sz w:val="24"/>
        </w:rPr>
        <w:t xml:space="preserve"> (запр</w:t>
      </w:r>
      <w:r w:rsidRPr="00970FEF">
        <w:rPr>
          <w:sz w:val="24"/>
        </w:rPr>
        <w:t>е</w:t>
      </w:r>
      <w:r w:rsidRPr="00970FEF">
        <w:rPr>
          <w:sz w:val="24"/>
        </w:rPr>
        <w:t>щающий сигнал светофора).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2.8. Ответственность за техническое состояние мониторов и организацию их обслуживания и ремонта возлагается на  </w:t>
      </w:r>
      <w:proofErr w:type="spellStart"/>
      <w:r w:rsidRPr="00970FEF">
        <w:rPr>
          <w:sz w:val="24"/>
        </w:rPr>
        <w:t>УЭиОИК</w:t>
      </w:r>
      <w:proofErr w:type="spellEnd"/>
      <w:r w:rsidRPr="00970FEF">
        <w:rPr>
          <w:sz w:val="24"/>
        </w:rPr>
        <w:t xml:space="preserve"> АО «СХК».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2.9. Центральная комендатура </w:t>
      </w:r>
      <w:proofErr w:type="gramStart"/>
      <w:r w:rsidRPr="00970FEF">
        <w:rPr>
          <w:sz w:val="24"/>
        </w:rPr>
        <w:t>КЗ</w:t>
      </w:r>
      <w:proofErr w:type="gramEnd"/>
      <w:r w:rsidRPr="00970FEF">
        <w:rPr>
          <w:sz w:val="24"/>
        </w:rPr>
        <w:t xml:space="preserve"> ЗАТО Северск и часовые караулов в/ч 3480 ВНГ РФ несут ответственность за: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>- недопущение несанкционированного перемещения ЯМ и радиационно-загрязненного транспо</w:t>
      </w:r>
      <w:r w:rsidRPr="00970FEF">
        <w:rPr>
          <w:sz w:val="24"/>
        </w:rPr>
        <w:t>р</w:t>
      </w:r>
      <w:r w:rsidRPr="00970FEF">
        <w:rPr>
          <w:sz w:val="24"/>
        </w:rPr>
        <w:t>та, физических лиц и материалов (предметов) через КПП;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>- сохранность радиационных мониторов и своевременное оповещение в случае их неисправности;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>- соблюдение установленного на КПП порядка обследования транспорта;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>- фиксацию всех случаев срабатываний радиационных мониторов в журнале учета.</w:t>
      </w:r>
    </w:p>
    <w:p w:rsidR="001C1886" w:rsidRPr="00177608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  </w:t>
      </w:r>
      <w:r w:rsidRPr="00177608">
        <w:rPr>
          <w:sz w:val="24"/>
        </w:rPr>
        <w:t>3. Причины срабатывания и режимы работы радиационных мониторов.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  </w:t>
      </w:r>
      <w:r w:rsidRPr="00970FEF">
        <w:rPr>
          <w:sz w:val="24"/>
        </w:rPr>
        <w:t>3.1. Срабатывание радиационного монитора происходит при наличии в транспорте, у физич</w:t>
      </w:r>
      <w:r w:rsidRPr="00970FEF">
        <w:rPr>
          <w:sz w:val="24"/>
        </w:rPr>
        <w:t>е</w:t>
      </w:r>
      <w:r w:rsidRPr="00970FEF">
        <w:rPr>
          <w:sz w:val="24"/>
        </w:rPr>
        <w:t>ских лиц источников ионизирующего излучения, которые условно можно разделить на следующие основные категории: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3.</w:t>
      </w:r>
      <w:r>
        <w:rPr>
          <w:sz w:val="24"/>
        </w:rPr>
        <w:t>1.1</w:t>
      </w:r>
      <w:r w:rsidRPr="00970FEF">
        <w:rPr>
          <w:sz w:val="24"/>
        </w:rPr>
        <w:t xml:space="preserve">. </w:t>
      </w:r>
      <w:proofErr w:type="gramStart"/>
      <w:r w:rsidRPr="00970FEF">
        <w:rPr>
          <w:sz w:val="24"/>
        </w:rPr>
        <w:t>Автомобильный транспорт (кузов, салон, имущество транспорта – трос, инструмент, спецодежда, личные вещи водителя и т.п.).</w:t>
      </w:r>
      <w:proofErr w:type="gramEnd"/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</w:t>
      </w:r>
      <w:proofErr w:type="gramStart"/>
      <w:r w:rsidRPr="00970FEF">
        <w:rPr>
          <w:sz w:val="24"/>
        </w:rPr>
        <w:t>3.</w:t>
      </w:r>
      <w:r>
        <w:rPr>
          <w:sz w:val="24"/>
        </w:rPr>
        <w:t>1.2.</w:t>
      </w:r>
      <w:r w:rsidRPr="00970FEF">
        <w:rPr>
          <w:sz w:val="24"/>
        </w:rPr>
        <w:t>. Предметы находящиеся внутри контейнеров, упаковок, свертков, банок, ящиков и т.п. среди перевозимого груза,  материалы (предметы) в составе которых содержатся радиоактивные вещества природного происхождения (строительные материалы – песок, гравий, щебень, цемент, грунт, зола, шлак, кирпич, керамическая плитка, железобетонные изделия, минеральные удобр</w:t>
      </w:r>
      <w:r w:rsidRPr="00970FEF">
        <w:rPr>
          <w:sz w:val="24"/>
        </w:rPr>
        <w:t>е</w:t>
      </w:r>
      <w:r w:rsidRPr="00970FEF">
        <w:rPr>
          <w:sz w:val="24"/>
        </w:rPr>
        <w:t>ния и т.п.) или искусственного происхождения (технические устройства – часы, уровнемеры, и</w:t>
      </w:r>
      <w:r w:rsidRPr="00970FEF">
        <w:rPr>
          <w:sz w:val="24"/>
        </w:rPr>
        <w:t>з</w:t>
      </w:r>
      <w:r w:rsidRPr="00970FEF">
        <w:rPr>
          <w:sz w:val="24"/>
        </w:rPr>
        <w:t xml:space="preserve">мерительные приборы с циферблатами на основе радиоактивного </w:t>
      </w:r>
      <w:proofErr w:type="spellStart"/>
      <w:r w:rsidRPr="00970FEF">
        <w:rPr>
          <w:sz w:val="24"/>
        </w:rPr>
        <w:t>светосостава</w:t>
      </w:r>
      <w:proofErr w:type="spellEnd"/>
      <w:r w:rsidRPr="00970FEF">
        <w:rPr>
          <w:sz w:val="24"/>
        </w:rPr>
        <w:t>, дозиметрические</w:t>
      </w:r>
      <w:proofErr w:type="gramEnd"/>
      <w:r w:rsidRPr="00970FEF">
        <w:rPr>
          <w:sz w:val="24"/>
        </w:rPr>
        <w:t xml:space="preserve"> приборы со встроенными источниками, металлолом и т.п.).</w:t>
      </w:r>
    </w:p>
    <w:p w:rsidR="001C1886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3.</w:t>
      </w:r>
      <w:r>
        <w:rPr>
          <w:sz w:val="24"/>
        </w:rPr>
        <w:t>1.3</w:t>
      </w:r>
      <w:r w:rsidRPr="00970FEF">
        <w:rPr>
          <w:sz w:val="24"/>
        </w:rPr>
        <w:t xml:space="preserve">. Физическое лицо (проходившее радиодиагностические исследования с применением </w:t>
      </w:r>
      <w:proofErr w:type="spellStart"/>
      <w:r w:rsidRPr="00970FEF">
        <w:rPr>
          <w:sz w:val="24"/>
        </w:rPr>
        <w:t>р</w:t>
      </w:r>
      <w:r w:rsidRPr="00970FEF">
        <w:rPr>
          <w:sz w:val="24"/>
        </w:rPr>
        <w:t>а</w:t>
      </w:r>
      <w:r w:rsidRPr="00970FEF">
        <w:rPr>
          <w:sz w:val="24"/>
        </w:rPr>
        <w:t>диофармпрепаратов</w:t>
      </w:r>
      <w:proofErr w:type="spellEnd"/>
      <w:r w:rsidRPr="00970FEF">
        <w:rPr>
          <w:sz w:val="24"/>
        </w:rPr>
        <w:t>, либо имеющее поверхностное радиоактивное загрязнение на одежде (кожных покровах), а также переносящее предметы).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  3.2. </w:t>
      </w:r>
      <w:r w:rsidRPr="00970FEF">
        <w:rPr>
          <w:sz w:val="24"/>
        </w:rPr>
        <w:t>Информация о текущем состоянии радиационного монитора выводится на его выносные световые индикаторы («Зеленый», «Желтый», «Красный»), расположенные на стойке монитора или на посту часового.</w:t>
      </w:r>
      <w:r>
        <w:rPr>
          <w:sz w:val="24"/>
        </w:rPr>
        <w:t xml:space="preserve">   </w:t>
      </w:r>
    </w:p>
    <w:p w:rsidR="001C1886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 w:rsidRPr="00970FEF">
        <w:rPr>
          <w:sz w:val="24"/>
        </w:rPr>
        <w:t>Контроль за</w:t>
      </w:r>
      <w:proofErr w:type="gramEnd"/>
      <w:r w:rsidRPr="00970FEF">
        <w:rPr>
          <w:sz w:val="24"/>
        </w:rPr>
        <w:t xml:space="preserve"> общим состоянием монитора возлагается на коменданта КПП (ДПК), а за тек</w:t>
      </w:r>
      <w:r w:rsidRPr="00970FEF">
        <w:rPr>
          <w:sz w:val="24"/>
        </w:rPr>
        <w:t>у</w:t>
      </w:r>
      <w:r w:rsidRPr="00970FEF">
        <w:rPr>
          <w:sz w:val="24"/>
        </w:rPr>
        <w:t>щим состоянием - на часового. Время появления предупреждающих сигналов (или отсутствия и</w:t>
      </w:r>
      <w:r w:rsidRPr="00970FEF">
        <w:rPr>
          <w:sz w:val="24"/>
        </w:rPr>
        <w:t>н</w:t>
      </w:r>
      <w:r w:rsidRPr="00970FEF">
        <w:rPr>
          <w:sz w:val="24"/>
        </w:rPr>
        <w:t>дикации) фиксируется в журнале учета срабатываний радиационного монитора.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</w:p>
    <w:p w:rsidR="001C1886" w:rsidRPr="00177608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   </w:t>
      </w:r>
      <w:r w:rsidRPr="00177608">
        <w:rPr>
          <w:sz w:val="24"/>
        </w:rPr>
        <w:t xml:space="preserve">4. Порядок взаимодействия администрации АО «СХК» подразделений в/ч 3480 ВНГ РФ, УМВД </w:t>
      </w:r>
      <w:proofErr w:type="gramStart"/>
      <w:r w:rsidRPr="00177608">
        <w:rPr>
          <w:sz w:val="24"/>
        </w:rPr>
        <w:t>по</w:t>
      </w:r>
      <w:proofErr w:type="gramEnd"/>
      <w:r w:rsidRPr="00177608">
        <w:rPr>
          <w:sz w:val="24"/>
        </w:rPr>
        <w:t xml:space="preserve"> ЗАТО Северск, отдела в г. Северске УФСБ России по Томской области при срабатыв</w:t>
      </w:r>
      <w:r w:rsidRPr="00177608">
        <w:rPr>
          <w:sz w:val="24"/>
        </w:rPr>
        <w:t>а</w:t>
      </w:r>
      <w:r w:rsidRPr="00177608">
        <w:rPr>
          <w:sz w:val="24"/>
        </w:rPr>
        <w:t xml:space="preserve">нии монитора. </w:t>
      </w:r>
    </w:p>
    <w:p w:rsidR="001C1886" w:rsidRPr="00177608" w:rsidRDefault="001C1886" w:rsidP="001C1886">
      <w:pPr>
        <w:pStyle w:val="aa"/>
        <w:jc w:val="both"/>
        <w:rPr>
          <w:sz w:val="24"/>
        </w:rPr>
      </w:pPr>
      <w:r w:rsidRPr="00177608">
        <w:rPr>
          <w:sz w:val="24"/>
        </w:rPr>
        <w:t xml:space="preserve">        4.1. Действия центральной комендатуры </w:t>
      </w:r>
      <w:proofErr w:type="gramStart"/>
      <w:r w:rsidRPr="00177608">
        <w:rPr>
          <w:sz w:val="24"/>
        </w:rPr>
        <w:t>КЗ</w:t>
      </w:r>
      <w:proofErr w:type="gramEnd"/>
      <w:r w:rsidRPr="00177608">
        <w:rPr>
          <w:sz w:val="24"/>
        </w:rPr>
        <w:t xml:space="preserve"> ЗАТО Северск, караулов в/ч 3480 НГ РФ:</w:t>
      </w:r>
    </w:p>
    <w:p w:rsidR="001C1886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Часовые, осуществляющие контрольно-пропускные функции, осуществляют </w:t>
      </w:r>
      <w:proofErr w:type="gramStart"/>
      <w:r w:rsidRPr="00970FEF">
        <w:rPr>
          <w:sz w:val="24"/>
        </w:rPr>
        <w:t>контроль  за</w:t>
      </w:r>
      <w:proofErr w:type="gramEnd"/>
      <w:r w:rsidRPr="00970FEF">
        <w:rPr>
          <w:sz w:val="24"/>
        </w:rPr>
        <w:t xml:space="preserve"> р</w:t>
      </w:r>
      <w:r w:rsidRPr="00970FEF">
        <w:rPr>
          <w:sz w:val="24"/>
        </w:rPr>
        <w:t>а</w:t>
      </w:r>
      <w:r w:rsidRPr="00970FEF">
        <w:rPr>
          <w:sz w:val="24"/>
        </w:rPr>
        <w:t>ботой радиационных мониторов, порядком проезда  транспорта, прохода физических лиц. При срабатывании радиационного монитора (сигнал «ТРЕВОГА») часовой немедленно прекращает проход физических лиц,  пропуск транспорта (закрывает ворота), задерживает физических лиц, транспорт.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 Комендант КПП (ДПК) прибывает на пост, осматривает физических лиц, транспорт на нал</w:t>
      </w:r>
      <w:r w:rsidRPr="00970FEF">
        <w:rPr>
          <w:sz w:val="24"/>
        </w:rPr>
        <w:t>и</w:t>
      </w:r>
      <w:r w:rsidRPr="00970FEF">
        <w:rPr>
          <w:sz w:val="24"/>
        </w:rPr>
        <w:t>чие предметов, указанных в п.п. № 3.</w:t>
      </w:r>
      <w:r>
        <w:rPr>
          <w:sz w:val="24"/>
        </w:rPr>
        <w:t>1.1., 3.1.</w:t>
      </w:r>
      <w:r w:rsidRPr="00970FEF">
        <w:rPr>
          <w:sz w:val="24"/>
        </w:rPr>
        <w:t>2</w:t>
      </w:r>
      <w:r>
        <w:rPr>
          <w:sz w:val="24"/>
        </w:rPr>
        <w:t>, 3.1.3.</w:t>
      </w:r>
      <w:r w:rsidRPr="00970FEF">
        <w:rPr>
          <w:sz w:val="24"/>
        </w:rPr>
        <w:t xml:space="preserve"> изымает у задержанных лиц пропуска. Все задержанные лица и транспорт выводятся с территории поста досмотровой площадки КПП под охраной тревожной группы караула.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 Комендант КПП (ДПК)</w:t>
      </w:r>
      <w:r>
        <w:rPr>
          <w:sz w:val="24"/>
        </w:rPr>
        <w:t xml:space="preserve"> </w:t>
      </w:r>
      <w:r w:rsidRPr="00970FEF">
        <w:rPr>
          <w:sz w:val="24"/>
        </w:rPr>
        <w:t xml:space="preserve"> повторн</w:t>
      </w:r>
      <w:r>
        <w:rPr>
          <w:sz w:val="24"/>
        </w:rPr>
        <w:t>о</w:t>
      </w:r>
      <w:r w:rsidRPr="00970FEF">
        <w:rPr>
          <w:sz w:val="24"/>
        </w:rPr>
        <w:t xml:space="preserve"> </w:t>
      </w:r>
      <w:r>
        <w:rPr>
          <w:sz w:val="24"/>
        </w:rPr>
        <w:t>пропускает</w:t>
      </w:r>
      <w:r w:rsidRPr="00970FEF">
        <w:rPr>
          <w:sz w:val="24"/>
        </w:rPr>
        <w:t xml:space="preserve"> физическо</w:t>
      </w:r>
      <w:r>
        <w:rPr>
          <w:sz w:val="24"/>
        </w:rPr>
        <w:t>е</w:t>
      </w:r>
      <w:r w:rsidRPr="00970FEF">
        <w:rPr>
          <w:sz w:val="24"/>
        </w:rPr>
        <w:t xml:space="preserve"> лиц</w:t>
      </w:r>
      <w:r>
        <w:rPr>
          <w:sz w:val="24"/>
        </w:rPr>
        <w:t>о и</w:t>
      </w:r>
      <w:r w:rsidRPr="00970FEF">
        <w:rPr>
          <w:sz w:val="24"/>
        </w:rPr>
        <w:t xml:space="preserve"> автомобильн</w:t>
      </w:r>
      <w:r>
        <w:rPr>
          <w:sz w:val="24"/>
        </w:rPr>
        <w:t>ый</w:t>
      </w:r>
      <w:r w:rsidRPr="00970FEF">
        <w:rPr>
          <w:sz w:val="24"/>
        </w:rPr>
        <w:t xml:space="preserve"> транспорт через радиационный монитор. Если при повторном обследовании срабатывание монитора отсу</w:t>
      </w:r>
      <w:r w:rsidRPr="00970FEF">
        <w:rPr>
          <w:sz w:val="24"/>
        </w:rPr>
        <w:t>т</w:t>
      </w:r>
      <w:r w:rsidRPr="00970FEF">
        <w:rPr>
          <w:sz w:val="24"/>
        </w:rPr>
        <w:t>ствует, то комендант (ДПК) возвращает пропуска, отпускает транспорт и физических лиц. Сраб</w:t>
      </w:r>
      <w:r w:rsidRPr="00970FEF">
        <w:rPr>
          <w:sz w:val="24"/>
        </w:rPr>
        <w:t>а</w:t>
      </w:r>
      <w:r w:rsidRPr="00970FEF">
        <w:rPr>
          <w:sz w:val="24"/>
        </w:rPr>
        <w:t>тывание радиационного монитора считает «ложным», а информацию о срабатывании фиксирует в журнале учета срабатываний радиационного монитора.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lastRenderedPageBreak/>
        <w:t xml:space="preserve">        В случае повторного срабатывания радиационного монитора на проход физического лица, проезд автомобильного транспорта через радиационный монитор комендант (ДПК) проводит д</w:t>
      </w:r>
      <w:r w:rsidRPr="00970FEF">
        <w:rPr>
          <w:sz w:val="24"/>
        </w:rPr>
        <w:t>е</w:t>
      </w:r>
      <w:r w:rsidRPr="00970FEF">
        <w:rPr>
          <w:sz w:val="24"/>
        </w:rPr>
        <w:t>тальное обследование поверхности физического лица, транспорта с помощью ручного радиацио</w:t>
      </w:r>
      <w:r w:rsidRPr="00970FEF">
        <w:rPr>
          <w:sz w:val="24"/>
        </w:rPr>
        <w:t>н</w:t>
      </w:r>
      <w:r w:rsidRPr="00970FEF">
        <w:rPr>
          <w:sz w:val="24"/>
        </w:rPr>
        <w:t xml:space="preserve">ного монитора. </w:t>
      </w:r>
    </w:p>
    <w:p w:rsidR="001C1886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 При срабатывании радиационного монитора на физическое лицо, проходившего радиодиа</w:t>
      </w:r>
      <w:r w:rsidRPr="00970FEF">
        <w:rPr>
          <w:sz w:val="24"/>
        </w:rPr>
        <w:t>г</w:t>
      </w:r>
      <w:r w:rsidRPr="00970FEF">
        <w:rPr>
          <w:sz w:val="24"/>
        </w:rPr>
        <w:t>ностические исследования, комендант (ДПК) проверяет наличие медицинской справки. При нал</w:t>
      </w:r>
      <w:r w:rsidRPr="00970FEF">
        <w:rPr>
          <w:sz w:val="24"/>
        </w:rPr>
        <w:t>и</w:t>
      </w:r>
      <w:r w:rsidRPr="00970FEF">
        <w:rPr>
          <w:sz w:val="24"/>
        </w:rPr>
        <w:t xml:space="preserve">чии медицинской справки возвращает пропуск, отпускает физическое лицо.     </w:t>
      </w:r>
    </w:p>
    <w:p w:rsidR="001C1886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</w:t>
      </w:r>
      <w:r w:rsidRPr="00970FEF">
        <w:rPr>
          <w:sz w:val="24"/>
        </w:rPr>
        <w:t xml:space="preserve">  При отсутствии медицинской справки, а также во всех  остальных случаях срабатывания р</w:t>
      </w:r>
      <w:r w:rsidRPr="00970FEF">
        <w:rPr>
          <w:sz w:val="24"/>
        </w:rPr>
        <w:t>а</w:t>
      </w:r>
      <w:r w:rsidRPr="00970FEF">
        <w:rPr>
          <w:sz w:val="24"/>
        </w:rPr>
        <w:t>диационного монитора на физическое лицо комендант (ДПК) сообщает коменданту ЦК ГКЗ, д</w:t>
      </w:r>
      <w:r w:rsidRPr="00970FEF">
        <w:rPr>
          <w:sz w:val="24"/>
        </w:rPr>
        <w:t>е</w:t>
      </w:r>
      <w:r w:rsidRPr="00970FEF">
        <w:rPr>
          <w:sz w:val="24"/>
        </w:rPr>
        <w:t xml:space="preserve">журному </w:t>
      </w:r>
      <w:proofErr w:type="spellStart"/>
      <w:r w:rsidRPr="00970FEF">
        <w:rPr>
          <w:sz w:val="24"/>
        </w:rPr>
        <w:t>ОФЗОиСП</w:t>
      </w:r>
      <w:proofErr w:type="spellEnd"/>
      <w:r w:rsidRPr="00970FEF">
        <w:rPr>
          <w:sz w:val="24"/>
        </w:rPr>
        <w:t xml:space="preserve">, дежурному </w:t>
      </w:r>
      <w:proofErr w:type="spellStart"/>
      <w:r w:rsidRPr="00970FEF">
        <w:rPr>
          <w:sz w:val="24"/>
        </w:rPr>
        <w:t>ЦКиБП</w:t>
      </w:r>
      <w:proofErr w:type="spellEnd"/>
      <w:r w:rsidRPr="00970FEF">
        <w:rPr>
          <w:sz w:val="24"/>
        </w:rPr>
        <w:t>.</w:t>
      </w:r>
    </w:p>
    <w:p w:rsidR="001C1886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      После завершения мероприятий (комиссионного обследования) по выявлению причин сраб</w:t>
      </w:r>
      <w:r w:rsidRPr="00970FEF">
        <w:rPr>
          <w:sz w:val="24"/>
        </w:rPr>
        <w:t>а</w:t>
      </w:r>
      <w:r w:rsidRPr="00970FEF">
        <w:rPr>
          <w:sz w:val="24"/>
        </w:rPr>
        <w:t>тывания радиационного монитора комендант КПП (ДПК) составляет протокол.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</w:t>
      </w:r>
      <w:r w:rsidRPr="00970FEF">
        <w:rPr>
          <w:sz w:val="24"/>
        </w:rPr>
        <w:t xml:space="preserve">При прорыве транспортного средства через КПП после срабатывания радиационного монитора </w:t>
      </w:r>
      <w:r>
        <w:rPr>
          <w:sz w:val="24"/>
        </w:rPr>
        <w:t xml:space="preserve">организовывается розыск автомобиля. </w:t>
      </w:r>
    </w:p>
    <w:p w:rsidR="001C1886" w:rsidRDefault="001C1886" w:rsidP="001C1886">
      <w:pPr>
        <w:pStyle w:val="aa"/>
        <w:jc w:val="both"/>
        <w:rPr>
          <w:sz w:val="24"/>
        </w:rPr>
      </w:pPr>
      <w:r w:rsidRPr="00970FEF">
        <w:rPr>
          <w:sz w:val="24"/>
        </w:rPr>
        <w:t xml:space="preserve"> </w:t>
      </w:r>
      <w:r>
        <w:rPr>
          <w:sz w:val="24"/>
        </w:rPr>
        <w:t xml:space="preserve">     </w:t>
      </w:r>
      <w:r w:rsidRPr="00970FEF">
        <w:rPr>
          <w:sz w:val="24"/>
        </w:rPr>
        <w:t xml:space="preserve">При срабатывании радиационного монитора </w:t>
      </w:r>
      <w:r>
        <w:rPr>
          <w:sz w:val="24"/>
        </w:rPr>
        <w:t>на ЛКПП (звуковой сигнал)  физическое лицо обязано остановиться, передать пропуск часовому, для выяснения причин срабатывания</w:t>
      </w:r>
      <w:r w:rsidRPr="009D25C5">
        <w:rPr>
          <w:sz w:val="24"/>
        </w:rPr>
        <w:t xml:space="preserve"> </w:t>
      </w:r>
      <w:r w:rsidRPr="00970FEF">
        <w:rPr>
          <w:sz w:val="24"/>
        </w:rPr>
        <w:t>радиац</w:t>
      </w:r>
      <w:r w:rsidRPr="00970FEF">
        <w:rPr>
          <w:sz w:val="24"/>
        </w:rPr>
        <w:t>и</w:t>
      </w:r>
      <w:r w:rsidRPr="00970FEF">
        <w:rPr>
          <w:sz w:val="24"/>
        </w:rPr>
        <w:t>онного монитора</w:t>
      </w:r>
      <w:r>
        <w:rPr>
          <w:sz w:val="24"/>
        </w:rPr>
        <w:t xml:space="preserve"> выполнить требования часового,  ДПК. </w:t>
      </w:r>
    </w:p>
    <w:p w:rsidR="001C1886" w:rsidRPr="00970FEF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      Водитель транспортного средства обязан проезжать КПП со скоростью 5км/ч, дистанция ме</w:t>
      </w:r>
      <w:r>
        <w:rPr>
          <w:sz w:val="24"/>
        </w:rPr>
        <w:t>ж</w:t>
      </w:r>
      <w:r>
        <w:rPr>
          <w:sz w:val="24"/>
        </w:rPr>
        <w:t xml:space="preserve">ду автомобилями 10м. </w:t>
      </w:r>
      <w:r w:rsidRPr="00970FEF">
        <w:rPr>
          <w:sz w:val="24"/>
        </w:rPr>
        <w:t>При срабатывании радиационного монитора на транспортное средство</w:t>
      </w:r>
      <w:r>
        <w:rPr>
          <w:sz w:val="24"/>
        </w:rPr>
        <w:t xml:space="preserve"> (включается звуковой сигнал, красный свет светофора, часовой закрывает </w:t>
      </w:r>
      <w:proofErr w:type="gramStart"/>
      <w:r>
        <w:rPr>
          <w:sz w:val="24"/>
        </w:rPr>
        <w:t xml:space="preserve">ворота) </w:t>
      </w:r>
      <w:proofErr w:type="gramEnd"/>
      <w:r>
        <w:rPr>
          <w:sz w:val="24"/>
        </w:rPr>
        <w:t xml:space="preserve">водитель обязан остановиться, представить автомобиль к досмотру ДПК.  </w:t>
      </w:r>
      <w:r w:rsidRPr="00970FEF">
        <w:rPr>
          <w:sz w:val="24"/>
        </w:rPr>
        <w:t xml:space="preserve"> </w:t>
      </w:r>
    </w:p>
    <w:p w:rsidR="001C1886" w:rsidRDefault="001C1886" w:rsidP="001C1886">
      <w:pPr>
        <w:pStyle w:val="aa"/>
        <w:jc w:val="both"/>
        <w:rPr>
          <w:sz w:val="24"/>
        </w:rPr>
      </w:pPr>
    </w:p>
    <w:p w:rsidR="001C1886" w:rsidRDefault="001C1886" w:rsidP="001C1886">
      <w:pPr>
        <w:pStyle w:val="aa"/>
        <w:jc w:val="both"/>
        <w:rPr>
          <w:sz w:val="24"/>
        </w:rPr>
      </w:pPr>
      <w:r>
        <w:rPr>
          <w:sz w:val="24"/>
        </w:rPr>
        <w:t xml:space="preserve">Начальник </w:t>
      </w:r>
      <w:proofErr w:type="spellStart"/>
      <w:r>
        <w:rPr>
          <w:sz w:val="24"/>
        </w:rPr>
        <w:t>ОФЗОиСП</w:t>
      </w:r>
      <w:proofErr w:type="spellEnd"/>
      <w:r>
        <w:rPr>
          <w:sz w:val="24"/>
        </w:rPr>
        <w:t xml:space="preserve">                                                                                               А.А. Жидков</w:t>
      </w:r>
    </w:p>
    <w:p w:rsidR="00A60F9B" w:rsidRDefault="00A60F9B" w:rsidP="00A60F9B"/>
    <w:tbl>
      <w:tblPr>
        <w:tblW w:w="0" w:type="auto"/>
        <w:tblInd w:w="108" w:type="dxa"/>
        <w:tblLook w:val="01E0"/>
      </w:tblPr>
      <w:tblGrid>
        <w:gridCol w:w="3780"/>
        <w:gridCol w:w="6426"/>
      </w:tblGrid>
      <w:tr w:rsidR="00A60F9B" w:rsidRPr="00B47F56">
        <w:tc>
          <w:tcPr>
            <w:tcW w:w="3780" w:type="dxa"/>
            <w:vAlign w:val="center"/>
          </w:tcPr>
          <w:p w:rsidR="00344351" w:rsidRPr="00B47F56" w:rsidRDefault="001E7745" w:rsidP="001E774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                                  </w:t>
            </w:r>
          </w:p>
        </w:tc>
        <w:tc>
          <w:tcPr>
            <w:tcW w:w="6426" w:type="dxa"/>
            <w:vAlign w:val="center"/>
          </w:tcPr>
          <w:p w:rsidR="00A60F9B" w:rsidRDefault="00A60F9B" w:rsidP="00B47F56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1E7745" w:rsidRPr="00B47F56" w:rsidRDefault="001E7745" w:rsidP="00B47F56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</w:tc>
      </w:tr>
      <w:tr w:rsidR="00A60F9B" w:rsidRPr="00B47F56">
        <w:tc>
          <w:tcPr>
            <w:tcW w:w="3780" w:type="dxa"/>
            <w:vAlign w:val="center"/>
          </w:tcPr>
          <w:p w:rsidR="00A60F9B" w:rsidRDefault="00A60F9B" w:rsidP="00B47F5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426" w:type="dxa"/>
            <w:vAlign w:val="center"/>
          </w:tcPr>
          <w:p w:rsidR="00A60F9B" w:rsidRPr="00B47F56" w:rsidRDefault="00A60F9B" w:rsidP="00B47F56">
            <w:pPr>
              <w:widowControl w:val="0"/>
              <w:autoSpaceDE w:val="0"/>
              <w:autoSpaceDN w:val="0"/>
              <w:adjustRightInd w:val="0"/>
              <w:spacing w:before="240"/>
              <w:rPr>
                <w:iCs/>
                <w:szCs w:val="28"/>
              </w:rPr>
            </w:pPr>
          </w:p>
        </w:tc>
      </w:tr>
    </w:tbl>
    <w:p w:rsidR="00A60F9B" w:rsidRDefault="00A60F9B" w:rsidP="00A60F9B"/>
    <w:p w:rsidR="00A60F9B" w:rsidRDefault="00A60F9B" w:rsidP="00A60F9B"/>
    <w:p w:rsidR="00A60F9B" w:rsidRDefault="00A60F9B" w:rsidP="00A60F9B"/>
    <w:p w:rsidR="00A60F9B" w:rsidRDefault="00A60F9B" w:rsidP="00A60F9B"/>
    <w:p w:rsidR="00344351" w:rsidRDefault="00344351" w:rsidP="002D4261">
      <w:pPr>
        <w:suppressAutoHyphens/>
        <w:jc w:val="center"/>
      </w:pPr>
    </w:p>
    <w:p w:rsidR="00344351" w:rsidRPr="00344351" w:rsidRDefault="00344351" w:rsidP="00344351"/>
    <w:p w:rsidR="00344351" w:rsidRPr="00344351" w:rsidRDefault="00344351" w:rsidP="00344351"/>
    <w:p w:rsidR="00344351" w:rsidRPr="00344351" w:rsidRDefault="00344351" w:rsidP="00344351"/>
    <w:p w:rsidR="00344351" w:rsidRPr="00344351" w:rsidRDefault="00344351" w:rsidP="00344351">
      <w:pPr>
        <w:tabs>
          <w:tab w:val="left" w:pos="4108"/>
        </w:tabs>
      </w:pPr>
    </w:p>
    <w:sectPr w:rsidR="00344351" w:rsidRPr="00344351" w:rsidSect="00AD5154">
      <w:pgSz w:w="11909" w:h="16834" w:code="9"/>
      <w:pgMar w:top="1134" w:right="567" w:bottom="1134" w:left="567" w:header="567" w:footer="567" w:gutter="567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C265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48760D"/>
    <w:multiLevelType w:val="hybridMultilevel"/>
    <w:tmpl w:val="7D326B88"/>
    <w:lvl w:ilvl="0" w:tplc="E10E7EBC">
      <w:start w:val="1"/>
      <w:numFmt w:val="decimal"/>
      <w:lvlText w:val="%1-е КПП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271C25B0"/>
    <w:multiLevelType w:val="hybridMultilevel"/>
    <w:tmpl w:val="F22881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C1022A9"/>
    <w:multiLevelType w:val="hybridMultilevel"/>
    <w:tmpl w:val="1A7698D2"/>
    <w:lvl w:ilvl="0" w:tplc="9606F0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1613"/>
    <w:multiLevelType w:val="hybridMultilevel"/>
    <w:tmpl w:val="0B5063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40B50BD"/>
    <w:multiLevelType w:val="hybridMultilevel"/>
    <w:tmpl w:val="597096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40F69CD"/>
    <w:multiLevelType w:val="hybridMultilevel"/>
    <w:tmpl w:val="A3F80F92"/>
    <w:lvl w:ilvl="0" w:tplc="7ACC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D18B1"/>
    <w:multiLevelType w:val="multilevel"/>
    <w:tmpl w:val="30D841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6007581"/>
    <w:multiLevelType w:val="hybridMultilevel"/>
    <w:tmpl w:val="6472F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E55574"/>
    <w:multiLevelType w:val="hybridMultilevel"/>
    <w:tmpl w:val="25826C08"/>
    <w:lvl w:ilvl="0" w:tplc="0419000B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7FC15FA6"/>
    <w:multiLevelType w:val="multilevel"/>
    <w:tmpl w:val="FC8AE3AC"/>
    <w:lvl w:ilvl="0">
      <w:start w:val="1"/>
      <w:numFmt w:val="decimal"/>
      <w:lvlText w:val="%1-е КПП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9440B"/>
    <w:rsid w:val="0002209F"/>
    <w:rsid w:val="00025F48"/>
    <w:rsid w:val="00042656"/>
    <w:rsid w:val="00096B5F"/>
    <w:rsid w:val="000A4275"/>
    <w:rsid w:val="000A5BA7"/>
    <w:rsid w:val="000B0AF9"/>
    <w:rsid w:val="000C2985"/>
    <w:rsid w:val="00113793"/>
    <w:rsid w:val="001154D7"/>
    <w:rsid w:val="00121F1E"/>
    <w:rsid w:val="00122060"/>
    <w:rsid w:val="001764D6"/>
    <w:rsid w:val="00186BCB"/>
    <w:rsid w:val="001C1886"/>
    <w:rsid w:val="001E7745"/>
    <w:rsid w:val="001F590A"/>
    <w:rsid w:val="00213171"/>
    <w:rsid w:val="00286E0A"/>
    <w:rsid w:val="00296E84"/>
    <w:rsid w:val="002C636D"/>
    <w:rsid w:val="002D4261"/>
    <w:rsid w:val="00340703"/>
    <w:rsid w:val="00344351"/>
    <w:rsid w:val="00374A3A"/>
    <w:rsid w:val="003B6581"/>
    <w:rsid w:val="003C64B5"/>
    <w:rsid w:val="003C7870"/>
    <w:rsid w:val="003D4EE7"/>
    <w:rsid w:val="003E6815"/>
    <w:rsid w:val="00422276"/>
    <w:rsid w:val="00441974"/>
    <w:rsid w:val="0044393E"/>
    <w:rsid w:val="00455BC5"/>
    <w:rsid w:val="00466B06"/>
    <w:rsid w:val="00485349"/>
    <w:rsid w:val="004E098A"/>
    <w:rsid w:val="004F7735"/>
    <w:rsid w:val="005029EE"/>
    <w:rsid w:val="00507C1E"/>
    <w:rsid w:val="00513D1F"/>
    <w:rsid w:val="005416BE"/>
    <w:rsid w:val="005437C9"/>
    <w:rsid w:val="00567152"/>
    <w:rsid w:val="00580C7D"/>
    <w:rsid w:val="0058758C"/>
    <w:rsid w:val="005A6CEE"/>
    <w:rsid w:val="005C7BA7"/>
    <w:rsid w:val="005E5E8D"/>
    <w:rsid w:val="005F1E09"/>
    <w:rsid w:val="00625598"/>
    <w:rsid w:val="00666975"/>
    <w:rsid w:val="006939D7"/>
    <w:rsid w:val="006971F8"/>
    <w:rsid w:val="006A7DE2"/>
    <w:rsid w:val="006B6994"/>
    <w:rsid w:val="006D4309"/>
    <w:rsid w:val="006D51C0"/>
    <w:rsid w:val="006D6F22"/>
    <w:rsid w:val="006F295C"/>
    <w:rsid w:val="006F4E26"/>
    <w:rsid w:val="00703566"/>
    <w:rsid w:val="00703AEC"/>
    <w:rsid w:val="007223BF"/>
    <w:rsid w:val="00725604"/>
    <w:rsid w:val="00740A8B"/>
    <w:rsid w:val="00746711"/>
    <w:rsid w:val="00753CEF"/>
    <w:rsid w:val="007641A0"/>
    <w:rsid w:val="007718BD"/>
    <w:rsid w:val="007B0F93"/>
    <w:rsid w:val="007B61E4"/>
    <w:rsid w:val="007B6853"/>
    <w:rsid w:val="007B7693"/>
    <w:rsid w:val="0081355F"/>
    <w:rsid w:val="008403CA"/>
    <w:rsid w:val="008529A7"/>
    <w:rsid w:val="008717E6"/>
    <w:rsid w:val="008A2E7B"/>
    <w:rsid w:val="008B26FD"/>
    <w:rsid w:val="008C28F8"/>
    <w:rsid w:val="008C56FC"/>
    <w:rsid w:val="008D5685"/>
    <w:rsid w:val="009013B4"/>
    <w:rsid w:val="00913936"/>
    <w:rsid w:val="00916197"/>
    <w:rsid w:val="009177B2"/>
    <w:rsid w:val="00941D73"/>
    <w:rsid w:val="009451C8"/>
    <w:rsid w:val="009628D1"/>
    <w:rsid w:val="009822D0"/>
    <w:rsid w:val="0098458A"/>
    <w:rsid w:val="009862D8"/>
    <w:rsid w:val="0099440B"/>
    <w:rsid w:val="009B44EF"/>
    <w:rsid w:val="009D4B4C"/>
    <w:rsid w:val="009E070C"/>
    <w:rsid w:val="009F6C3A"/>
    <w:rsid w:val="00A045C1"/>
    <w:rsid w:val="00A268B9"/>
    <w:rsid w:val="00A35DA6"/>
    <w:rsid w:val="00A60F9B"/>
    <w:rsid w:val="00A62B3F"/>
    <w:rsid w:val="00A739A4"/>
    <w:rsid w:val="00A95EB3"/>
    <w:rsid w:val="00A96711"/>
    <w:rsid w:val="00AD5154"/>
    <w:rsid w:val="00B17F06"/>
    <w:rsid w:val="00B32AE2"/>
    <w:rsid w:val="00B43BE8"/>
    <w:rsid w:val="00B47F56"/>
    <w:rsid w:val="00B6006E"/>
    <w:rsid w:val="00B704D7"/>
    <w:rsid w:val="00B7203B"/>
    <w:rsid w:val="00B744EF"/>
    <w:rsid w:val="00B82AA7"/>
    <w:rsid w:val="00BA0A7E"/>
    <w:rsid w:val="00BB7874"/>
    <w:rsid w:val="00BC5092"/>
    <w:rsid w:val="00BD4634"/>
    <w:rsid w:val="00BD5B6C"/>
    <w:rsid w:val="00BE74AB"/>
    <w:rsid w:val="00BF22C2"/>
    <w:rsid w:val="00C05E62"/>
    <w:rsid w:val="00C12B64"/>
    <w:rsid w:val="00C3798F"/>
    <w:rsid w:val="00C6409D"/>
    <w:rsid w:val="00C95673"/>
    <w:rsid w:val="00CA1C25"/>
    <w:rsid w:val="00D0746D"/>
    <w:rsid w:val="00D12B70"/>
    <w:rsid w:val="00D82CEF"/>
    <w:rsid w:val="00D8705D"/>
    <w:rsid w:val="00DE5E21"/>
    <w:rsid w:val="00E215FD"/>
    <w:rsid w:val="00E55127"/>
    <w:rsid w:val="00E7256E"/>
    <w:rsid w:val="00E941B6"/>
    <w:rsid w:val="00EA3741"/>
    <w:rsid w:val="00EA520A"/>
    <w:rsid w:val="00EB0E83"/>
    <w:rsid w:val="00F077CB"/>
    <w:rsid w:val="00F22E76"/>
    <w:rsid w:val="00F71108"/>
    <w:rsid w:val="00F774C3"/>
    <w:rsid w:val="00F867F8"/>
    <w:rsid w:val="00FD12A4"/>
    <w:rsid w:val="00FD3583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4B5"/>
    <w:rPr>
      <w:sz w:val="28"/>
      <w:szCs w:val="24"/>
    </w:rPr>
  </w:style>
  <w:style w:type="paragraph" w:styleId="1">
    <w:name w:val="heading 1"/>
    <w:basedOn w:val="a0"/>
    <w:next w:val="a0"/>
    <w:qFormat/>
    <w:rsid w:val="003C64B5"/>
    <w:pPr>
      <w:keepNext/>
      <w:ind w:right="6056"/>
      <w:jc w:val="center"/>
      <w:outlineLvl w:val="0"/>
    </w:pPr>
    <w:rPr>
      <w:b/>
      <w:sz w:val="20"/>
    </w:rPr>
  </w:style>
  <w:style w:type="paragraph" w:styleId="2">
    <w:name w:val="heading 2"/>
    <w:basedOn w:val="a0"/>
    <w:next w:val="a0"/>
    <w:link w:val="20"/>
    <w:qFormat/>
    <w:rsid w:val="003C64B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0"/>
    <w:next w:val="a0"/>
    <w:qFormat/>
    <w:rsid w:val="003C64B5"/>
    <w:pPr>
      <w:keepNext/>
      <w:jc w:val="center"/>
      <w:outlineLvl w:val="2"/>
    </w:pPr>
    <w:rPr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C64B5"/>
    <w:pPr>
      <w:tabs>
        <w:tab w:val="left" w:pos="32"/>
        <w:tab w:val="left" w:pos="312"/>
      </w:tabs>
      <w:ind w:right="6056"/>
      <w:jc w:val="center"/>
    </w:pPr>
    <w:rPr>
      <w:b/>
      <w:sz w:val="20"/>
    </w:rPr>
  </w:style>
  <w:style w:type="paragraph" w:styleId="21">
    <w:name w:val="Body Text 2"/>
    <w:basedOn w:val="a0"/>
    <w:rsid w:val="003C64B5"/>
    <w:pPr>
      <w:jc w:val="center"/>
    </w:pPr>
    <w:rPr>
      <w:b/>
      <w:bCs/>
      <w:sz w:val="22"/>
    </w:rPr>
  </w:style>
  <w:style w:type="character" w:styleId="a5">
    <w:name w:val="Hyperlink"/>
    <w:basedOn w:val="a1"/>
    <w:rsid w:val="003C64B5"/>
    <w:rPr>
      <w:color w:val="0000FF"/>
      <w:u w:val="single"/>
    </w:rPr>
  </w:style>
  <w:style w:type="paragraph" w:styleId="30">
    <w:name w:val="Body Text 3"/>
    <w:basedOn w:val="a0"/>
    <w:rsid w:val="003C64B5"/>
    <w:pPr>
      <w:jc w:val="center"/>
    </w:pPr>
    <w:rPr>
      <w:sz w:val="24"/>
    </w:rPr>
  </w:style>
  <w:style w:type="paragraph" w:styleId="a">
    <w:name w:val="List Bullet"/>
    <w:basedOn w:val="a0"/>
    <w:link w:val="a6"/>
    <w:autoRedefine/>
    <w:rsid w:val="00CA1C25"/>
    <w:pPr>
      <w:numPr>
        <w:numId w:val="2"/>
      </w:numPr>
    </w:pPr>
  </w:style>
  <w:style w:type="character" w:customStyle="1" w:styleId="a6">
    <w:name w:val="Маркированный список Знак"/>
    <w:basedOn w:val="a1"/>
    <w:link w:val="a"/>
    <w:rsid w:val="00CA1C25"/>
    <w:rPr>
      <w:sz w:val="28"/>
      <w:szCs w:val="24"/>
      <w:lang w:val="ru-RU" w:eastAsia="ru-RU" w:bidi="ar-SA"/>
    </w:rPr>
  </w:style>
  <w:style w:type="paragraph" w:styleId="a7">
    <w:name w:val="Balloon Text"/>
    <w:basedOn w:val="a0"/>
    <w:semiHidden/>
    <w:rsid w:val="00025F48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02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8"/>
    <w:rsid w:val="00A60F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956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rsid w:val="00344351"/>
    <w:rPr>
      <w:b/>
      <w:bCs/>
      <w:szCs w:val="24"/>
    </w:rPr>
  </w:style>
  <w:style w:type="paragraph" w:styleId="aa">
    <w:name w:val="No Spacing"/>
    <w:uiPriority w:val="1"/>
    <w:qFormat/>
    <w:rsid w:val="00EB0E8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8;&#1077;&#1087;&#1077;&#1083;&#1080;&#1094;&#1080;&#1085;\&#1074;&#1085;&#1077;&#1096;&#1085;&#1077;&#1077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внешнее_1</Template>
  <TotalTime>1</TotalTime>
  <Pages>3</Pages>
  <Words>973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OFZO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Перепелицин</dc:creator>
  <cp:lastModifiedBy>Андрей</cp:lastModifiedBy>
  <cp:revision>2</cp:revision>
  <cp:lastPrinted>2017-03-13T03:10:00Z</cp:lastPrinted>
  <dcterms:created xsi:type="dcterms:W3CDTF">2017-03-16T07:56:00Z</dcterms:created>
  <dcterms:modified xsi:type="dcterms:W3CDTF">2017-03-16T07:56:00Z</dcterms:modified>
</cp:coreProperties>
</file>